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top w:val="none" w:sz="6" w:space="0" w:color="000000"/>
          <w:left w:val="none" w:sz="6" w:space="0" w:color="000000"/>
          <w:bottom w:val="none" w:sz="6" w:space="0" w:color="000000"/>
          <w:right w:val="none" w:sz="6" w:space="0" w:color="000000"/>
          <w:insideH w:val="none" w:sz="6" w:space="0" w:color="000000"/>
          <w:insideV w:val="non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772"/>
      </w:tblGrid>
      <w:tr w:rsidR="00E149EB">
        <w:tc>
          <w:tcPr>
            <w:tcW w:w="1077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49EB" w:rsidRDefault="006B2B86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Утв. приказом Минфина РФ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от 28 декабря 2010 г. № 191н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(в ред. от 16 ноября 2016 г.)</w:t>
            </w:r>
          </w:p>
        </w:tc>
      </w:tr>
    </w:tbl>
    <w:p w:rsidR="00E149EB" w:rsidRDefault="006B2B86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vanish/>
          <w:sz w:val="24"/>
          <w:szCs w:val="24"/>
        </w:rPr>
        <w:t> </w:t>
      </w:r>
    </w:p>
    <w:tbl>
      <w:tblPr>
        <w:tblW w:w="9580" w:type="dxa"/>
        <w:tblInd w:w="93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69"/>
        <w:gridCol w:w="231"/>
        <w:gridCol w:w="1500"/>
        <w:gridCol w:w="1680"/>
      </w:tblGrid>
      <w:tr w:rsidR="00E149EB">
        <w:trPr>
          <w:trHeight w:val="270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149EB" w:rsidRDefault="006B2B86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ПОЯСНИТЕЛЬНАЯ ЗАПИСКА</w:t>
            </w:r>
          </w:p>
        </w:tc>
        <w:tc>
          <w:tcPr>
            <w:tcW w:w="1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149EB" w:rsidRDefault="00E149EB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149EB" w:rsidRDefault="00E149EB">
            <w:pPr>
              <w:rPr>
                <w:sz w:val="24"/>
              </w:rPr>
            </w:pPr>
          </w:p>
        </w:tc>
        <w:tc>
          <w:tcPr>
            <w:tcW w:w="16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149EB" w:rsidRDefault="00E149EB">
            <w:pPr>
              <w:rPr>
                <w:sz w:val="24"/>
              </w:rPr>
            </w:pPr>
          </w:p>
        </w:tc>
      </w:tr>
      <w:tr w:rsidR="00E149EB">
        <w:trPr>
          <w:trHeight w:val="25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149EB" w:rsidRDefault="00E149EB">
            <w:pPr>
              <w:rPr>
                <w:sz w:val="24"/>
              </w:rPr>
            </w:pPr>
          </w:p>
        </w:tc>
        <w:tc>
          <w:tcPr>
            <w:tcW w:w="1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149EB" w:rsidRDefault="00E149EB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149EB" w:rsidRDefault="00E149EB">
            <w:pPr>
              <w:rPr>
                <w:sz w:val="24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149EB" w:rsidRDefault="006B2B86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КОДЫ</w:t>
            </w:r>
          </w:p>
        </w:tc>
      </w:tr>
      <w:tr w:rsidR="00E149EB">
        <w:trPr>
          <w:trHeight w:val="282"/>
        </w:trPr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149EB" w:rsidRDefault="00E149EB">
            <w:pPr>
              <w:rPr>
                <w:sz w:val="24"/>
              </w:rPr>
            </w:pPr>
          </w:p>
        </w:tc>
        <w:tc>
          <w:tcPr>
            <w:tcW w:w="0" w:type="auto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149EB" w:rsidRDefault="006B2B86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Форма по ОКУД</w:t>
            </w:r>
          </w:p>
        </w:tc>
        <w:tc>
          <w:tcPr>
            <w:tcW w:w="16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149EB" w:rsidRDefault="006B2B86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0503160</w:t>
            </w:r>
          </w:p>
        </w:tc>
      </w:tr>
      <w:tr w:rsidR="00E149EB">
        <w:trPr>
          <w:trHeight w:val="282"/>
        </w:trPr>
        <w:tc>
          <w:tcPr>
            <w:tcW w:w="0" w:type="auto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149EB" w:rsidRDefault="006B2B86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                         на   1 июля 2022 г.</w:t>
            </w: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149EB" w:rsidRDefault="006B2B86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Дата</w:t>
            </w:r>
          </w:p>
        </w:tc>
        <w:tc>
          <w:tcPr>
            <w:tcW w:w="16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149EB" w:rsidRDefault="006B2B86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01.07.2022</w:t>
            </w:r>
          </w:p>
        </w:tc>
      </w:tr>
      <w:tr w:rsidR="00E149EB">
        <w:trPr>
          <w:trHeight w:val="300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149EB" w:rsidRDefault="006B2B86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Главный распорядитель, распорядитель,</w:t>
            </w:r>
          </w:p>
        </w:tc>
        <w:tc>
          <w:tcPr>
            <w:tcW w:w="1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149EB" w:rsidRDefault="00E149EB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149EB" w:rsidRDefault="00E149EB">
            <w:pPr>
              <w:rPr>
                <w:sz w:val="24"/>
              </w:rPr>
            </w:pPr>
          </w:p>
        </w:tc>
        <w:tc>
          <w:tcPr>
            <w:tcW w:w="16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149EB" w:rsidRDefault="00E149EB">
            <w:pPr>
              <w:rPr>
                <w:sz w:val="24"/>
              </w:rPr>
            </w:pPr>
          </w:p>
        </w:tc>
      </w:tr>
      <w:tr w:rsidR="00E149EB">
        <w:trPr>
          <w:trHeight w:val="19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149EB" w:rsidRDefault="006B2B86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получатель бюджетных средств, главный администратор,   </w:t>
            </w:r>
          </w:p>
        </w:tc>
        <w:tc>
          <w:tcPr>
            <w:tcW w:w="1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149EB" w:rsidRDefault="00E149EB">
            <w:pPr>
              <w:rPr>
                <w:sz w:val="20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149EB" w:rsidRDefault="00E149EB">
            <w:pPr>
              <w:rPr>
                <w:sz w:val="20"/>
              </w:rPr>
            </w:pPr>
          </w:p>
        </w:tc>
        <w:tc>
          <w:tcPr>
            <w:tcW w:w="16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149EB" w:rsidRDefault="00E149EB">
            <w:pPr>
              <w:rPr>
                <w:sz w:val="20"/>
              </w:rPr>
            </w:pPr>
          </w:p>
        </w:tc>
      </w:tr>
      <w:tr w:rsidR="00E149EB">
        <w:trPr>
          <w:trHeight w:val="19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149EB" w:rsidRDefault="006B2B86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администратор доходов бюджета,</w:t>
            </w:r>
          </w:p>
        </w:tc>
        <w:tc>
          <w:tcPr>
            <w:tcW w:w="1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149EB" w:rsidRDefault="00E149EB">
            <w:pPr>
              <w:rPr>
                <w:sz w:val="20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149EB" w:rsidRDefault="006B2B86">
            <w:pPr>
              <w:spacing w:line="195" w:lineRule="atLeast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по ОКПО</w:t>
            </w:r>
          </w:p>
        </w:tc>
        <w:tc>
          <w:tcPr>
            <w:tcW w:w="16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149EB" w:rsidRDefault="006B2B86">
            <w:pPr>
              <w:spacing w:line="195" w:lineRule="atLeas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27751786</w:t>
            </w:r>
          </w:p>
        </w:tc>
      </w:tr>
      <w:tr w:rsidR="00E149EB">
        <w:trPr>
          <w:trHeight w:val="19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149EB" w:rsidRDefault="006B2B86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главный администратор, администратор </w:t>
            </w:r>
          </w:p>
        </w:tc>
        <w:tc>
          <w:tcPr>
            <w:tcW w:w="1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149EB" w:rsidRDefault="00E149EB">
            <w:pPr>
              <w:rPr>
                <w:sz w:val="20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149EB" w:rsidRDefault="00E149EB">
            <w:pPr>
              <w:rPr>
                <w:sz w:val="2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149EB" w:rsidRDefault="00E149EB">
            <w:pPr>
              <w:rPr>
                <w:sz w:val="20"/>
              </w:rPr>
            </w:pPr>
          </w:p>
        </w:tc>
      </w:tr>
      <w:tr w:rsidR="00E149EB">
        <w:trPr>
          <w:trHeight w:val="19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149EB" w:rsidRDefault="006B2B86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администратор источников финансирования</w:t>
            </w:r>
          </w:p>
        </w:tc>
        <w:tc>
          <w:tcPr>
            <w:tcW w:w="1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149EB" w:rsidRDefault="00E149EB">
            <w:pPr>
              <w:rPr>
                <w:sz w:val="20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149EB" w:rsidRDefault="00E149EB">
            <w:pPr>
              <w:rPr>
                <w:sz w:val="20"/>
              </w:rPr>
            </w:pPr>
          </w:p>
        </w:tc>
        <w:tc>
          <w:tcPr>
            <w:tcW w:w="16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149EB" w:rsidRDefault="00E149EB">
            <w:pPr>
              <w:rPr>
                <w:sz w:val="20"/>
              </w:rPr>
            </w:pPr>
          </w:p>
        </w:tc>
      </w:tr>
      <w:tr w:rsidR="00E149EB">
        <w:tc>
          <w:tcPr>
            <w:tcW w:w="0" w:type="auto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149EB" w:rsidRDefault="006B2B86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дефицита бюджета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 xml:space="preserve">МИНИСТЕРСТВО ЖИЛИЩНО-КОММУНАЛЬНОГО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>ХОЗЯЙСТВА И ГРАЖДАНСКОЙ ЗАЩИТЫ НАСЕЛЕНИЯ ПЕНЗЕНСКОЙ ОБЛАСТИ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        </w:t>
            </w:r>
          </w:p>
          <w:p w:rsidR="00E149EB" w:rsidRDefault="006B2B86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149EB" w:rsidRDefault="006B2B86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Глава по БК</w:t>
            </w:r>
          </w:p>
        </w:tc>
        <w:tc>
          <w:tcPr>
            <w:tcW w:w="16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149EB" w:rsidRDefault="006B2B86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840</w:t>
            </w:r>
          </w:p>
        </w:tc>
      </w:tr>
      <w:tr w:rsidR="00E149EB">
        <w:trPr>
          <w:trHeight w:val="280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149EB" w:rsidRDefault="006B2B86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Наименование бюджета </w:t>
            </w:r>
          </w:p>
        </w:tc>
        <w:tc>
          <w:tcPr>
            <w:tcW w:w="1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149EB" w:rsidRDefault="00E149EB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149EB" w:rsidRDefault="00E149EB">
            <w:pPr>
              <w:rPr>
                <w:sz w:val="24"/>
              </w:rPr>
            </w:pPr>
          </w:p>
        </w:tc>
        <w:tc>
          <w:tcPr>
            <w:tcW w:w="16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149EB" w:rsidRDefault="00E149EB">
            <w:pPr>
              <w:rPr>
                <w:sz w:val="24"/>
              </w:rPr>
            </w:pPr>
          </w:p>
        </w:tc>
      </w:tr>
      <w:tr w:rsidR="00E149EB">
        <w:trPr>
          <w:trHeight w:val="210"/>
        </w:trPr>
        <w:tc>
          <w:tcPr>
            <w:tcW w:w="0" w:type="auto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149EB" w:rsidRDefault="006B2B86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(публично-правового образования)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>Бюджет субъекта РФ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  <w:p w:rsidR="00E149EB" w:rsidRDefault="006B2B86">
            <w:pPr>
              <w:spacing w:line="210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   </w:t>
            </w: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149EB" w:rsidRDefault="006B2B86">
            <w:pPr>
              <w:spacing w:line="210" w:lineRule="atLeast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по ОКТМО</w:t>
            </w:r>
          </w:p>
        </w:tc>
        <w:tc>
          <w:tcPr>
            <w:tcW w:w="16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149EB" w:rsidRDefault="006B2B86">
            <w:pPr>
              <w:spacing w:line="210" w:lineRule="atLeas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5"/>
                <w:szCs w:val="15"/>
              </w:rPr>
              <w:t>56000000</w:t>
            </w:r>
          </w:p>
        </w:tc>
      </w:tr>
      <w:tr w:rsidR="00E149EB">
        <w:trPr>
          <w:trHeight w:val="31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149EB" w:rsidRDefault="006B2B86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Периодичность:    месячная, квартальная, годовая</w:t>
            </w:r>
          </w:p>
        </w:tc>
        <w:tc>
          <w:tcPr>
            <w:tcW w:w="1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149EB" w:rsidRDefault="00E149EB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149EB" w:rsidRDefault="00E149EB">
            <w:pPr>
              <w:rPr>
                <w:sz w:val="24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149EB" w:rsidRDefault="00E149EB">
            <w:pPr>
              <w:rPr>
                <w:sz w:val="24"/>
              </w:rPr>
            </w:pPr>
          </w:p>
        </w:tc>
      </w:tr>
      <w:tr w:rsidR="00E149EB">
        <w:trPr>
          <w:trHeight w:val="282"/>
        </w:trPr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149EB" w:rsidRDefault="006B2B86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Единица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измерения: руб.</w:t>
            </w:r>
          </w:p>
        </w:tc>
        <w:tc>
          <w:tcPr>
            <w:tcW w:w="1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149EB" w:rsidRDefault="00E149EB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149EB" w:rsidRDefault="006B2B86">
            <w:pPr>
              <w:spacing w:before="240" w:beforeAutospacing="1" w:after="240" w:afterAutospacing="1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   по ОКЕИ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149EB" w:rsidRDefault="006B2B86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383</w:t>
            </w:r>
          </w:p>
        </w:tc>
      </w:tr>
      <w:tr w:rsidR="00E149EB">
        <w:trPr>
          <w:trHeight w:val="282"/>
        </w:trPr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149EB" w:rsidRDefault="00E149EB">
            <w:pPr>
              <w:rPr>
                <w:sz w:val="24"/>
              </w:rPr>
            </w:pPr>
          </w:p>
        </w:tc>
        <w:tc>
          <w:tcPr>
            <w:tcW w:w="1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149EB" w:rsidRDefault="00E149EB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149EB" w:rsidRDefault="00E149EB">
            <w:pPr>
              <w:rPr>
                <w:sz w:val="24"/>
              </w:rPr>
            </w:pPr>
          </w:p>
        </w:tc>
        <w:tc>
          <w:tcPr>
            <w:tcW w:w="16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149EB" w:rsidRDefault="00E149EB">
            <w:pPr>
              <w:rPr>
                <w:sz w:val="24"/>
              </w:rPr>
            </w:pPr>
          </w:p>
        </w:tc>
      </w:tr>
      <w:tr w:rsidR="00E149EB">
        <w:trPr>
          <w:trHeight w:val="282"/>
        </w:trPr>
        <w:tc>
          <w:tcPr>
            <w:tcW w:w="0" w:type="auto"/>
            <w:gridSpan w:val="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149EB" w:rsidRDefault="00E149EB">
            <w:pPr>
              <w:rPr>
                <w:sz w:val="24"/>
              </w:rPr>
            </w:pPr>
          </w:p>
        </w:tc>
      </w:tr>
    </w:tbl>
    <w:p w:rsidR="00E149EB" w:rsidRDefault="006B2B86">
      <w:pPr>
        <w:jc w:val="center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1.Организационная структура</w:t>
      </w:r>
    </w:p>
    <w:p w:rsidR="00E149EB" w:rsidRDefault="006B2B86">
      <w:pPr>
        <w:jc w:val="center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</w:t>
      </w:r>
    </w:p>
    <w:p w:rsidR="00E149EB" w:rsidRDefault="006B2B86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Полное наименование: Министерство</w:t>
      </w:r>
      <w:r>
        <w:rPr>
          <w:rFonts w:ascii="Calibri" w:eastAsia="Calibri" w:hAnsi="Calibri" w:cs="Calibri"/>
          <w:color w:val="00000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жилищно-коммунального хозяйства и гражданской защиты населения Пензенской области. </w:t>
      </w:r>
    </w:p>
    <w:p w:rsidR="00E149EB" w:rsidRDefault="006B2B86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Сокращенное наименование: Министерство ЖКХ и ГЗН Пензенской области. </w:t>
      </w:r>
    </w:p>
    <w:p w:rsidR="00E149EB" w:rsidRDefault="006B2B86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Юридический адрес:</w:t>
      </w:r>
      <w:r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440000, г. Пенза, ул. Московская, 110.</w:t>
      </w:r>
    </w:p>
    <w:p w:rsidR="00E149EB" w:rsidRDefault="006B2B86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ИНН: 5836675975, ОГРН:1165835051447. </w:t>
      </w:r>
    </w:p>
    <w:p w:rsidR="00E149EB" w:rsidRDefault="006B2B86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Организационно-правовая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форма  –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государственное казенное учреждение. </w:t>
      </w:r>
    </w:p>
    <w:p w:rsidR="00E149EB" w:rsidRDefault="006B2B86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Код главы главного распорядителя бюджетных средств - 840. </w:t>
      </w:r>
    </w:p>
    <w:p w:rsidR="00E149EB" w:rsidRDefault="006B2B86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Код по реестру УБП – 562D0014.</w:t>
      </w:r>
    </w:p>
    <w:p w:rsidR="00E149EB" w:rsidRDefault="006B2B86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Учредитель – Правительство Пензенской области: г. Пенза, ул. Московская, 75. ИНН: 5836010995, ОГРН 1025801356789. </w:t>
      </w:r>
    </w:p>
    <w:p w:rsidR="00E149EB" w:rsidRDefault="006B2B86">
      <w:pPr>
        <w:ind w:firstLine="7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Для осуществления финансово-хозяйственной деятельно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сти для Министерства открыты счета:</w:t>
      </w:r>
    </w:p>
    <w:p w:rsidR="00E149EB" w:rsidRDefault="006B2B86">
      <w:pPr>
        <w:ind w:firstLine="7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Управлении Федерального казначейства по Пензенской области:</w:t>
      </w:r>
    </w:p>
    <w:p w:rsidR="00E149EB" w:rsidRDefault="006B2B86">
      <w:pPr>
        <w:numPr>
          <w:ilvl w:val="0"/>
          <w:numId w:val="1"/>
        </w:numPr>
        <w:jc w:val="both"/>
        <w:rPr>
          <w:rFonts w:ascii="Arial" w:eastAsia="Arial" w:hAnsi="Arial" w:cs="Arial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01552 D00140;</w:t>
      </w:r>
    </w:p>
    <w:p w:rsidR="00E149EB" w:rsidRDefault="006B2B86">
      <w:pPr>
        <w:numPr>
          <w:ilvl w:val="0"/>
          <w:numId w:val="1"/>
        </w:numPr>
        <w:jc w:val="both"/>
        <w:rPr>
          <w:rFonts w:ascii="Arial" w:eastAsia="Arial" w:hAnsi="Arial" w:cs="Arial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03552 D00140 - получателя бюджетных средств;</w:t>
      </w:r>
    </w:p>
    <w:p w:rsidR="00E149EB" w:rsidRDefault="006B2B86">
      <w:pPr>
        <w:numPr>
          <w:ilvl w:val="0"/>
          <w:numId w:val="1"/>
        </w:numPr>
        <w:jc w:val="both"/>
        <w:rPr>
          <w:rFonts w:ascii="Arial" w:eastAsia="Arial" w:hAnsi="Arial" w:cs="Arial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04552 D00140 - администратора доходов;</w:t>
      </w:r>
    </w:p>
    <w:p w:rsidR="00E149EB" w:rsidRDefault="006B2B86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-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14552840020; 14552840030; 14552840031; 14552840032; 14552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840033; 14552840034; 14552840035; 14552840036; 14552840037; 14552840038; 14552840039; 1455284003А; 1455284003Б; 1455284003В; 14552840040; 14552840041; 14552840042; 14552840043; 14552840044; 14552840045; 14552840046; 14552840047; 14552840048; 14552840049; 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455284004А; 1455284004Б; 1455284004В; 1455284004Г; 14552840050; 14552840051; 14552840052; 14552840053; 14552840054; 14552840055; 14552840056; 14552840057; 14552840058; 14552840059; 1455284005А; 1455284005Б; 14552840060; 14552840061; 14552840062; 1455284006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3; 14552840064; 14552840065; 14552840070; 14552840080; 14552840081; 14552840082; 14552840083; 14552840084; 14552840085; 14552840086; 14552840087; 14552840088; 14552840089; 1455284008А; 1455284008Б; 14552840090; 14552840091; 14552840092; 14552840093; 145528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40094; 14552840095; 14552840096; 14552840097; 14552840098; 14552840099; 14552840100; 14552840101; 14552840102; 14552840103; 14552840104; 14552840105; 14552840110; 14552840111; 14552840112; 14552840113; 14552840114; 14552840115; 14552840116; 14552840117; 14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552840118; 14552840119; 14552840120; 14552840121; 14552840122; 14552840123; 14552840124; 14552840125; 14552840126; 14552840127; 14552840128; 14552840129; 14552840130; 14552840131; 14552840132; 14552840133; 14552840134; 14552840135; 14552840136; 14552840137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 14552840140; 14552840141; 14552840142; 14552840143; 14552840144; 14552840145; 14552840146; 14552840147; 14552840148; 14552840149; 1455284014А; 1455284014Б; 1455284014В; 1455284014Г; 1455284014Д; 1455284014Е; 14552840150; 14552840151; 14552840152; 1455284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0153; 14552840154; 14552840155; 14552840156; 14552840157; 14552840160; 14552840161; 14552840162; 14552840163; 14552840164; 14552840165; 14552840166; 14552840170; 14552840171; 14552840172; 14552840173; 14552840174; 14552840180; 14552840181; 14552840182; 145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52840183; 14552840184; 14552840185; 14552840186; 14552840187; 14552840200; 14552840201; 14552840202; 14552840203; 14552840204; 14552840205; 14552840206; 14552840210; 14552840211; 14552840212; 14552840213; 14552840214; 14552840215; 14552840216; 14552840217;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14552840218; 14552840219; 1455284021А; 14552840220; 14552840221; 14552840230; 14552840231; 14552840232; 14552840233; 14552840234; 14552840235; 14552840236; 14552840237; 14552840238; 14552840239; 14552840240; 14552840241; 14552840242; 14552840243; 14552840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244; 14552840245; 14552840250; 14552840251; 14552840252; 14552840253; 14552840254; 14552840255; 14552840256; 14552840257; 14552840258; 14552840259; 1455284025А; 1455284025Б; 14552840260; 14552840261; 14552840262; 14552840263; 14552840264; 14552840265; 1455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2840266; 14552840267; 14552840268; 14552840269; 1455284026А; 14552840270; 14552840271; 14552840272; 14552840273; 14552840274; 14552840275; 14552840276; 14552840277; 14552840280; 14552840281; 14552840282; 14552840283; 14552840284;14552840285; 14552840286; 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4552840287; 14552840288; 14552840289; 1455284028А; 1455284028Б; 1455284028В; 1455284028Г; 14552840290; 14552840291; 14552840292; 14552840293; 14552840294; 14552840295; 14552840296; 14552840297; 14552840298; 14552840300; 14552840301; 14552840302; 1455284030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3; 14552840310; 14552840311;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14552840312; 14552840313; 14552840314; 14552840315; 14552840316; 14552840317; 14552840318; 14552840319 -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для учета операций по переданным полномочиям получателя бюджетных средств.</w:t>
      </w:r>
    </w:p>
    <w:p w:rsidR="00E149EB" w:rsidRDefault="006B2B86">
      <w:pPr>
        <w:ind w:firstLine="700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Министерстве финансов Пензенской области:</w:t>
      </w:r>
    </w:p>
    <w:p w:rsidR="00E149EB" w:rsidRDefault="006B2B86">
      <w:pPr>
        <w:numPr>
          <w:ilvl w:val="0"/>
          <w:numId w:val="2"/>
        </w:numPr>
        <w:jc w:val="both"/>
        <w:rPr>
          <w:rFonts w:ascii="Arial" w:eastAsia="Arial" w:hAnsi="Arial" w:cs="Arial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№ 8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40D050001, № 840D050002, № 840D050006, № 840D050003, № 840D05004.</w:t>
      </w:r>
    </w:p>
    <w:p w:rsidR="00E149EB" w:rsidRDefault="006B2B86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  Банковских счетов в кредитных организациях Министерство не имеет. </w:t>
      </w:r>
    </w:p>
    <w:p w:rsidR="00E149EB" w:rsidRDefault="006B2B86">
      <w:pPr>
        <w:ind w:firstLine="7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Ведение бухгалтерского учета в части выполнения полномочий главного распорядителя бюджетных средств осуществляется Управ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лением финансирования целевых программ и бюджетного учета Министерства.</w:t>
      </w:r>
    </w:p>
    <w:p w:rsidR="00E149EB" w:rsidRDefault="006B2B86">
      <w:pPr>
        <w:spacing w:line="322" w:lineRule="atLeast"/>
        <w:ind w:left="40" w:right="20" w:firstLine="68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Ведение бухгалтерского учета в части выполнения полномочий получателя бюджетных средств в соответствии с договором оказания услуг по ведению бюджетного учета органов исполнительной вла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сти Пензенской области осуществляет ГБУ «Управление делами Губернатора и Правительства Пензенской области».</w:t>
      </w:r>
      <w:r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 xml:space="preserve"> </w:t>
      </w:r>
    </w:p>
    <w:p w:rsidR="00E149EB" w:rsidRDefault="006B2B86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          Касса для выдачи наличных денежных средств в Министерстве отсутствует. Все расчеты осуществляются в безналичном порядке. </w:t>
      </w:r>
    </w:p>
    <w:p w:rsidR="00E149EB" w:rsidRDefault="006B2B86"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Подведомственн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ые учреждения:</w:t>
      </w:r>
    </w:p>
    <w:p w:rsidR="00E149EB" w:rsidRDefault="006B2B86"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ГУ ПО «ППСЦ»;</w:t>
      </w:r>
    </w:p>
    <w:p w:rsidR="00E149EB" w:rsidRDefault="006B2B86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Региональный фонд капитального ремонта многоквартирных домов Пензенской области.</w:t>
      </w:r>
    </w:p>
    <w:p w:rsidR="00E149EB" w:rsidRDefault="006B2B86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        Бюджетные полномочия в отчетном периоде у Министерства не изменялись. </w:t>
      </w:r>
    </w:p>
    <w:p w:rsidR="00E149EB" w:rsidRDefault="006B2B86">
      <w:pPr>
        <w:spacing w:line="322" w:lineRule="atLeast"/>
        <w:ind w:left="40" w:right="20" w:firstLine="68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Министерство жилищно-коммунального хозяйства и гражданской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защиты населения Пензенской области является исполнительным органом государственной власти Пензенской области, обеспечивающим проведение государственной политики в сфере жилищно-коммунального хозяйства и гражданской защиты населения на территории Пензенско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области.</w:t>
      </w:r>
    </w:p>
    <w:p w:rsidR="00E149EB" w:rsidRDefault="006B2B86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Согласно Положения о Министерстве, утвержденного постановлением Правительства Пензенской области от 19.07.2021 № 424-пП «Об утверждении Положения о Министерстве жилищно-коммунального хозяйства и гражданской защиты населения Пензенской области»,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Министерство является правопреемником по правам и обязанностям Управления жилищно-коммунального хозяйства и гражданской защиты населения Пензенской области (Положение об Управлении жилищно-коммунального хозяйства и гражданской защиты населения Пензенской 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бласти, утвержденного постановлением Правительства Пензенской области от 20.01.2016 г. № 28-пП). </w:t>
      </w:r>
    </w:p>
    <w:p w:rsidR="00E149EB" w:rsidRDefault="006B2B86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Основными задачами Министерства являются:</w:t>
      </w:r>
    </w:p>
    <w:p w:rsidR="00E149EB" w:rsidRDefault="006B2B86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1. Реализация государственной политики реформирования жилищно-коммунального хозяйства с целью повышения качества жил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ищно-коммунальных услуг и удовлетворения социальных потребностей населения.</w:t>
      </w:r>
    </w:p>
    <w:p w:rsidR="00E149EB" w:rsidRDefault="006B2B86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 Разработка и реализация региональных целевых программ в системе жилищно-коммунального хозяйства Пензенской области.</w:t>
      </w:r>
    </w:p>
    <w:p w:rsidR="00E149EB" w:rsidRDefault="006B2B86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 Участие в реализации единой государственной политики в обл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асти территориальной и гражданской обороны, защиты населения и территорий от чрезвычайных ситуаций природного и техногенного характера, пожарной безопасности на территории Пензенской области.</w:t>
      </w:r>
    </w:p>
    <w:p w:rsidR="00E149EB" w:rsidRDefault="006B2B86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4. Разработка и реализация региональных адресных программ пересе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ления граждан из аварийного жилищного фонда.</w:t>
      </w:r>
    </w:p>
    <w:p w:rsidR="00E149EB" w:rsidRDefault="006B2B86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5. Проведение работ, связанных с использованием сведений, составляющих государственную тайну, в соответствии с действующим законодательством.</w:t>
      </w:r>
    </w:p>
    <w:p w:rsidR="00E149EB" w:rsidRDefault="006B2B86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6. Осуществление регионального государственного жилищного контроля (н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адзора).</w:t>
      </w:r>
    </w:p>
    <w:p w:rsidR="00E149EB" w:rsidRDefault="006B2B86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7. Осуществление регионального государственного лицензионного контроля за осуществлением предпринимательской деятельности по управлению многоквартирными домами.</w:t>
      </w:r>
    </w:p>
    <w:p w:rsidR="00E149EB" w:rsidRDefault="006B2B86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Министерство исполняет функции учредителя в отношении государственного бюджетного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учреждения Пензенской области государственного бюджетного учреждения Пензенской области «Пензенский пожарно-спасательный центр», некоммерческой организации «Региональный фонд капитального ремонта многоквартирных домов Пензенской области».</w:t>
      </w:r>
    </w:p>
    <w:p w:rsidR="00E149EB" w:rsidRDefault="006B2B86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E149EB" w:rsidRDefault="006B2B86">
      <w:pPr>
        <w:jc w:val="center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2. Результаты д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еятельности субъекта бюджетной отчетности</w:t>
      </w:r>
    </w:p>
    <w:p w:rsidR="00E149EB" w:rsidRDefault="006B2B86">
      <w:pPr>
        <w:jc w:val="center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</w:t>
      </w:r>
    </w:p>
    <w:p w:rsidR="00E149EB" w:rsidRDefault="006B2B86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Согласно штатному расписанию численность сотрудников Министерства составляет 87 человек. На 1 июля 2022г. фактическая численность составила 84 человек, средняя численность составила 67 человек.</w:t>
      </w:r>
    </w:p>
    <w:p w:rsidR="00E149EB" w:rsidRDefault="006B2B86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Повышение квалифик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ации и обучающие семинары на 01.07.2022 года прошли 4 сотрудника по следующим темам:</w:t>
      </w:r>
    </w:p>
    <w:p w:rsidR="00E149EB" w:rsidRDefault="006B2B86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"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Девовой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этикет и позитивный имидж";</w:t>
      </w:r>
    </w:p>
    <w:p w:rsidR="00E149EB" w:rsidRDefault="006B2B86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"Правовые основы и технологии с обращениями граждан";</w:t>
      </w:r>
    </w:p>
    <w:p w:rsidR="00E149EB" w:rsidRDefault="006B2B86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"Современные кадровые технологии на государственной гражданской службе";</w:t>
      </w:r>
    </w:p>
    <w:p w:rsidR="00E149EB" w:rsidRDefault="006B2B86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"Эффективное командное взаимодействие".</w:t>
      </w:r>
    </w:p>
    <w:p w:rsidR="00E149EB" w:rsidRDefault="006B2B86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Целевые показатели государственной программы Пензенской области, утвержденные постановлением Правительства Пензенской области от 01.09.2017 № 414-пП «Формирование комфортной городской среды на территории Пензенской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области» (с последующими изменениями), за отчетный период:</w:t>
      </w:r>
    </w:p>
    <w:p w:rsidR="00E149EB" w:rsidRDefault="006B2B86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1) Количество реализованных проектов благоустройства дворовых территорий -  121 ед.; </w:t>
      </w:r>
    </w:p>
    <w:p w:rsidR="00E149EB" w:rsidRDefault="006B2B86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2) Количество реализованных проектов благоустройства общественных территорий - 128 ед.;</w:t>
      </w:r>
    </w:p>
    <w:p w:rsidR="00E149EB" w:rsidRDefault="006B2B86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3) Доля благоустроенных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дворовых территорий многоквартирных домов от общего количества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даоровых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территорий многоквартирных домов - 30,4%.</w:t>
      </w:r>
    </w:p>
    <w:p w:rsidR="00E149EB" w:rsidRDefault="006B2B86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Исполнение целевых показателей государственной программы Пензенской области, утвержденные постановлением Правительства Пензенской области от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23.10.2013 № 801-пП «Защита населения и территорий чрезвычайных ситуаций, обеспечение пожарной безопасности в Пензенской области» (с последующими изменениями), за отчетный период:</w:t>
      </w:r>
    </w:p>
    <w:p w:rsidR="00E149EB" w:rsidRDefault="006B2B86">
      <w:pPr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Динамика снижения на территории Пензенской области количества деструктивны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событий (пожаров, происшествий на водных объектах) к аналогичному показателю 2013 года (%) за отчетный период 2022г. составил 22,0% (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план  22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,0%);</w:t>
      </w:r>
    </w:p>
    <w:p w:rsidR="00E149EB" w:rsidRDefault="006B2B86">
      <w:pPr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Доля населения Пензенской области, охваченного системой обеспечения вызова экстренных оперативных служб 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единому номеру «112» составил 100,0%.</w:t>
      </w:r>
    </w:p>
    <w:p w:rsidR="00E149EB" w:rsidRDefault="006B2B86">
      <w:pPr>
        <w:ind w:firstLine="54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Перечень целевых показателей по Государственной программе Пензенской области «Обеспечение жильем и коммунальными услугами населения Пензенской области», утвержденной постановлением Правительства Пензенской области 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 01.11.2013г. № 811-пП:</w:t>
      </w:r>
    </w:p>
    <w:p w:rsidR="00E149EB" w:rsidRDefault="006B2B86">
      <w:pPr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Доля площади жилищного фонда, обеспеченного всеми видами благоустройства, в общей площади жилищного фонда Пензенской области, план на 2022 год – 68,1%, исполнение 68,1%;</w:t>
      </w:r>
    </w:p>
    <w:p w:rsidR="00E149EB" w:rsidRDefault="006B2B86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общая площадь жилых помещений, приходящихся в среднем на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 жителя Пензенской области составила 31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кв.м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из планового на 2022 год 31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кв.м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.;</w:t>
      </w:r>
    </w:p>
    <w:p w:rsidR="00E149EB" w:rsidRDefault="006B2B86">
      <w:pPr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Доля населения, обеспеченного питьевой водой, отвечающей требованиям безопасности в общей численности населения Пензенской области составляет 98,1 % из установленного годов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ого значения – 98,1%,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исполнение  100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,0 %;</w:t>
      </w:r>
    </w:p>
    <w:p w:rsidR="00E149EB" w:rsidRDefault="006B2B86">
      <w:pPr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Износ объектов коммунальной инфраструктуры по отношению нормативному сроку службы при годовом показателе 77,2% фактический показатель на 01.07.2022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составил  77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,2%;</w:t>
      </w:r>
    </w:p>
    <w:p w:rsidR="00E149EB" w:rsidRDefault="006B2B86">
      <w:pPr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 xml:space="preserve">-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Прирост износа объектов коммунальной инфраст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руктуры по отношению к нормативному сроку службы относительно предыдущего года при годовом показателе 0,8% фактически за отчетный период 2022 года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составил  0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,8%.</w:t>
      </w:r>
    </w:p>
    <w:p w:rsidR="00E149EB" w:rsidRDefault="006B2B86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Показатели расходов на приобретение товаров (работ, услуг) отражены в отчете (ф. 0503127) на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01.07.2022г. Основные средства находятся в исправном техническом состоянии. Потребности в ремонте основных средств в отчетном периоде не было. Недостачи и порчи имущества за отчетный период не выявлено. Основные средства использовались для нужд Министерств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по своему целевому назначению. Объекты основных средств, имеющие нулевую балансовую стоимость и выведенные из эксплуатации (неиспользуемые), в Министерстве отсутствуют. Объектов аренды у учреждения нет. </w:t>
      </w:r>
    </w:p>
    <w:p w:rsidR="00E149EB" w:rsidRDefault="006B2B86">
      <w:pPr>
        <w:jc w:val="center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</w:t>
      </w:r>
    </w:p>
    <w:p w:rsidR="00E149EB" w:rsidRDefault="006B2B86">
      <w:pPr>
        <w:jc w:val="center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3. Анализ отчета об исполнении 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бюджета  субъекто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бюджетной отчетности</w:t>
      </w:r>
    </w:p>
    <w:p w:rsidR="00E149EB" w:rsidRDefault="006B2B86">
      <w:pPr>
        <w:jc w:val="center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E149EB" w:rsidRDefault="006B2B86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Утвержденные бюджетные назначения по доходам, администрируемым Министерством на 01.04.2022г. составили 849 621 730,66 руб., всего поступило 597 383 097,28 руб. или 70,3 %   от годового плана, в том числе:</w:t>
      </w:r>
    </w:p>
    <w:p w:rsidR="00E149EB" w:rsidRDefault="006B2B86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840 20225299020000150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бсидии бюджетам субъектов РФ на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софинансирование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расходных обязательств субъектов РФ, связанных с реализацией федеральной целевой программы "Увековечение памяти погибших при защите Отечества на 2019 - 2024 годы" план - 2 704 300,00 руб. поступило 50 299,99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руб.;</w:t>
      </w:r>
    </w:p>
    <w:p w:rsidR="00E149EB" w:rsidRDefault="006B2B86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840 20225555020000150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субсидии бюджетам субъектов РФ на реализацию программ формирования современной городской среды план - 345 478 200,00 руб., поступило 117 469 734,89 руб. (34,0%);</w:t>
      </w:r>
    </w:p>
    <w:p w:rsidR="00E149EB" w:rsidRDefault="006B2B86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840 20225243020000150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субсидии бюджетам субъектов РФ на строи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тельство и реконструкцию (модернизацию) объектов питьевого водоснабжения план - 82 139 100,00 руб., поступило - 61 809 497,55 руб. (75,2%);</w:t>
      </w:r>
    </w:p>
    <w:p w:rsidR="00E149EB" w:rsidRDefault="006B2B86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840 20245424020000150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межбюджетные трансферты, передаваемые бюджетам субъектов РФ на 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 план - 50 000 000,00 руб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., поступило 9 997 590,00 руб. (20,0%);</w:t>
      </w:r>
    </w:p>
    <w:p w:rsidR="00E149EB" w:rsidRDefault="006B2B86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840 20302040020000150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безвозмездные поступления в бюджеты субъектов РФ от государственной корпорации - Фонда содействия реформированию ЖКХ на обеспечение мероприятий по переселению граждан из аварийного жилищного 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онда с учетом необходимости развития малоэтажного жилищного строительства план - 359 283 374,73 руб., поступило 399 171 425,94 руб.;</w:t>
      </w:r>
    </w:p>
    <w:p w:rsidR="00E149EB" w:rsidRDefault="006B2B86">
      <w:pPr>
        <w:ind w:firstLine="540"/>
        <w:jc w:val="both"/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lastRenderedPageBreak/>
        <w:t xml:space="preserve">- 840 20302030020000150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безвозмездные поступления в бюджеты субъектов РФ от государственной корпорации - Фонда содействия 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еформированию жилищно-коммунального хозяйства на обеспечение мероприятий по капитальному ремонту многоквартирных домов поступило 7 654 111,49 руб.;</w:t>
      </w:r>
    </w:p>
    <w:p w:rsidR="00E149EB" w:rsidRDefault="006B2B86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840 10807400011000110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государственная пошлина за действия уполномоченных органов субъектов Российской Феде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рации, связанные с лицензированием предпринимательской деятельности по управлению многоквартирными домами (сумма платежа (перерасчеты, недоимка и задолженность по соответствующему платежу, в том числе по отмененному) при годовом плане 250 000,00 руб. посту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пило - 95 000, руб. (47,5%);</w:t>
      </w:r>
    </w:p>
    <w:p w:rsidR="00E149EB" w:rsidRDefault="006B2B86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840 11602010020000140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административные штрафы, установленные законами субъектов РФ об административных правонарушениях, за нарушение законов и иных нормативных правовых актов субъектов РФ поступило 101 287,86 руб. из плановых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142 000,00 руб. (71,3%);</w:t>
      </w:r>
    </w:p>
    <w:p w:rsidR="00E149EB" w:rsidRDefault="006B2B86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840 11610122010000140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доходы от денежных взысканий (штрафов), поступающие в счет погашения задолженности, образовавшейся до 1 января 2020 года, подлежащие зачислению в бюджет субъекта РФ по нормативам, действовавшим в 2019 году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поступило 41 553,91 руб.;</w:t>
      </w:r>
    </w:p>
    <w:p w:rsidR="00E149EB" w:rsidRDefault="006B2B86">
      <w:pPr>
        <w:ind w:firstLine="54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840 11601072010233140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должностными 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ицами органов исполнительной власти субъектов Российской Федерации, учреждениями субъектов Российской Федерации (штрафы за нарушение правил осуществления предпринимательской деятельности по управлению многоквартирными домами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поступило 4 000,00 руб. при пл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ане 60 000,00 руб. (6,7%);</w:t>
      </w:r>
    </w:p>
    <w:p w:rsidR="00E149EB" w:rsidRDefault="006B2B86">
      <w:pPr>
        <w:ind w:firstLine="540"/>
        <w:jc w:val="both"/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- 840 11601072019000140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должностными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лицами органов исполнительной власти субъектов Российской Федерации, учреждениями субъектов Российской Федерации (иные штрафы) поступило 25 000,00 руб. из плановых 100 000,00 руб. (25,0%);</w:t>
      </w:r>
    </w:p>
    <w:p w:rsidR="00E149EB" w:rsidRDefault="006B2B86">
      <w:pPr>
        <w:ind w:firstLine="540"/>
        <w:jc w:val="both"/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- 840 11601092010016140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административные штрафы, установленные Глав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должностными лицами органов исполнительной власти субъектов Российской Федерации, учреждениям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субъектов Российской Федерации (штрафы за нарушение законодательства об энергосбережении и о повышении энергетической эффективности) план 10 000,00 руб. Поступления ожидаются в 3 и 4 кварталах;</w:t>
      </w:r>
    </w:p>
    <w:p w:rsidR="00E149EB" w:rsidRDefault="006B2B86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-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840 11601092019000140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административные штрафы, установленн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должностными лицами органов исполнительной власти субъектов Российской Федерации, учре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ждениями субъектов Российской Федерации (иные штрафы) поступило 5 000,00 руб. при годовом плане 70 000,00 руб. (7,1%);</w:t>
      </w:r>
    </w:p>
    <w:p w:rsidR="00E149EB" w:rsidRDefault="006B2B86">
      <w:pPr>
        <w:ind w:firstLine="540"/>
        <w:jc w:val="both"/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- 840 11601142019000140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административные штрафы, установленные Главой 14 Кодекса Российской Федерации об административных правонарушениях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за административные правонарушения в области предпринимательской деятельности и деятельности саморегулируемых организаций, налагаемые должностными лицами органов исполнительной власти субъектов Российской Федерации, учреждениями субъектов Российской Феде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рации (иные штрафы) при плане 1 600 000,00 руб. поступило - 933 203,11 руб. (58,3%);</w:t>
      </w:r>
    </w:p>
    <w:p w:rsidR="00E149EB" w:rsidRDefault="006B2B86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840 21860010026452150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возврат остатков прошлых лет в сумме 130 644,44 руб. Возвращенные денежные средства были направлены назад в муниципальные образования (г. Пенза, г.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Каменка) при подтверждении потребности;</w:t>
      </w:r>
    </w:p>
    <w:p w:rsidR="00E149EB" w:rsidRDefault="006B2B86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840 21860010026287150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доходы бюджетов субъектов Российской Федерации от возврата прочих остатков субсидий, субвенций и иных межбюджетных трансфертов, имеющих целевое назначение, прошлых лет из бюджетов муниципальн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ых образований (от возврата остатков субсидий прошлых лет на капитальный ремонт и ремонт сетей и сооружений водоснабжения в населенных пунктах Пензенской области за исключением субсидий на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софинансирование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объектов капитального строительства) поступило 25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892,54 руб. (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Каргалейский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сельсовет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Вадинского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района).</w:t>
      </w:r>
    </w:p>
    <w:p w:rsidR="00E149EB" w:rsidRDefault="006B2B86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E149EB" w:rsidRDefault="006B2B86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Кассовые расходы на 1 июля 2022 года из плановых показателей в сумме 2 021 926 400,16 руб. составили 947 114 470,88 руб. или 46,8%.</w:t>
      </w:r>
    </w:p>
    <w:p w:rsidR="00E149EB" w:rsidRDefault="006B2B86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рамках Государственной программы Пензенской области «Обеспечение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жильем и коммунальными услугами населения Пензенской области на 2014 - 2024 годы» расходы на содержание аппарата по целевым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статьям  8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40</w:t>
      </w:r>
      <w:proofErr w:type="gramEnd"/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 1510502100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840 1510502200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 составили 42 457 042,48 руб. при годовом плане 90 899 500,00 руб., т.е. 46,7%, в том числе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E149EB" w:rsidRDefault="006B2B86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на оплату труда и начисления на выплаты по оплате труда –  39 988 444,95 руб., </w:t>
      </w:r>
    </w:p>
    <w:p w:rsidR="00E149EB" w:rsidRDefault="006B2B86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на выплату командировочных расходов (транс. услуги, суточные,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проживание)  –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 53 817,20 руб.,</w:t>
      </w:r>
    </w:p>
    <w:p w:rsidR="00E149EB" w:rsidRDefault="006B2B86">
      <w:pPr>
        <w:ind w:firstLine="540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оплата прочих работ, услуг – 2 414 780,33 руб.</w:t>
      </w:r>
    </w:p>
    <w:p w:rsidR="00E149EB" w:rsidRDefault="006B2B86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КБК 840 0505 1510521220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244 226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расходы на реализацию Закона Пензенской области «О звании «Почетный гражданин Пензенской области» из лимитов в сумме 200 000,00 руб. выплачено по заявлению о возмещении расходов на погребение почетного гражданина Пензенской области 200 000,00 руб.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(100,0%).</w:t>
      </w:r>
    </w:p>
    <w:p w:rsidR="00E149EB" w:rsidRDefault="006B2B86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0310 0510121210 321 262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расходы на реализацию постановления Правительства Пензенской области от 04.07.2012 № 480-пП «О мерах по реализации Закона Пензенской области от 10.10.2011 № 2126-ЗПО «О некоторых вопросах, связанных с реализацие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в Пензенской области Федерального закона от 6 мая 2011 года № 100-ФЗ «О добровольной пожарной охране» в сумме 50 000,00 руб. планируются к освоению по факту предоставления заявок на выплаты.</w:t>
      </w:r>
    </w:p>
    <w:p w:rsidR="00E149EB" w:rsidRDefault="006B2B86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0113 1510574310 530 251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перечислено субвенции на исп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олнение государственных полномочий в сфере административных правоотношений в сумме 8 173 659,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55  руб.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из годового плана 18 341 100,00 руб., что составляет 44,6 %.</w:t>
      </w:r>
    </w:p>
    <w:p w:rsidR="00E149EB" w:rsidRDefault="006B2B86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1510171310 521 251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субсидии на капитальный ремонт сетей и сооружений водоотве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дения в населенных пунктах Пензенской области в сумме 1 425 314,49 руб. Освоено 246 355,00 руб. (17,3%).</w:t>
      </w:r>
    </w:p>
    <w:p w:rsidR="00E149EB" w:rsidRDefault="006B2B86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КБК 840 0502 1510271560 521 251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Субсидии на реконструкцию (модернизацию) и капитальный ремонт тепловых сетей и сооружений в населенных пунктах Пензе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нской области в сумме 13 151 557,04 руб. Освоено 2 848 829,27 руб. Исполнено 21,7%.</w:t>
      </w:r>
    </w:p>
    <w:p w:rsidR="00E149EB" w:rsidRDefault="006B2B86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1510371350 521 251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сумме 210 320 920,04 руб. субсидия на капитальный ремонт и ремонт сетей и сооружений водоснабжения в населенных пунктах Пензенской обла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сти перечислено за отчетный период 2022 года 107 422 924,23 руб., что составляет 51,1%. </w:t>
      </w:r>
    </w:p>
    <w:p w:rsidR="00E149EB" w:rsidRDefault="006B2B86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1510371370 522 251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сумме 2 327 803,80 руб. субсидии на строительство и реконструкцию сетей и сооружений водоснабжения в населенных пунктах Пензенской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области освоено 2 327 803,80 руб. (100,0%).</w:t>
      </w:r>
    </w:p>
    <w:p w:rsidR="00E149EB" w:rsidRDefault="006B2B86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1510471380 521 251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субсидия на закупку коммунальной техники в сумме 349 823 744,63 руб. перечислено 313 387 244,62 руб. (89,6%).</w:t>
      </w:r>
    </w:p>
    <w:p w:rsidR="00E149EB" w:rsidRDefault="006B2B86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1510565210 244 226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отчетном периоде перечислена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плата за хранение аварийного резерва на сумму 270 930,00 руб. (41,7%) из запланированных на год 650 232,00 руб.</w:t>
      </w:r>
    </w:p>
    <w:p w:rsidR="00E149EB" w:rsidRDefault="006B2B86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1510565210 244 346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целях увеличения аварийного резерва материально-технических ресурсов для предупреждения ситуаций, которые 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огут привести к нарушению функционирования систем жизнеобеспечения населения и ликвидации их последствий на объектах жилищно-коммунального хозяйства Пензенской области, созданного согласно постановления Правительства Пензенской области от 27.10.2006 г.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№ 6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87-пП, закупка материально - технических ресурсов на сумму 9 349 768,00 руб. Освоено 5 434 000,00 руб. (58,1%). </w:t>
      </w:r>
    </w:p>
    <w:p w:rsidR="00E149EB" w:rsidRDefault="006B2B86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0503 1510471400 521 251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сумме 9 310 000,00 руб. субсидия на совершенствование систем наружного освещения населенных пунктов перечи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слено в муниципальные образования Пензенской области 3 651 581,29 руб., что составило 39,2%.</w:t>
      </w:r>
    </w:p>
    <w:p w:rsidR="00E149EB" w:rsidRDefault="006B2B86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0503 1510471420 540 251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сумме 20 000 000,00 руб. субсидия на премирование территорий – победителей конкурса на звание «Самое благоустроенное городское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(сельское) поселение Пензенской области» планируется к освоению в 3 квартале 2022 года.</w:t>
      </w:r>
    </w:p>
    <w:p w:rsidR="00E149EB" w:rsidRDefault="006B2B86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0503 231F255550 523 251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сумме 348 967 878,79 руб. субсидия на поддержку государственных программ субъектов Российской Федерации и муниципальных программ 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ормирования современной городской среды перечислено муниципальным образованиям 118 656 297,93 (34,0%).</w:t>
      </w:r>
    </w:p>
    <w:p w:rsidR="00E149EB" w:rsidRDefault="006B2B86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0503 23301R2990 521 251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субсидия на обустройство и восстановление воинских захоронений в сумме 2 939 456,52 руб. Перечислено 54 673,90 руб. ил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1,9%.</w:t>
      </w:r>
    </w:p>
    <w:p w:rsidR="00E149EB" w:rsidRDefault="006B2B86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КБК 840 0505 1420199999 244 310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реализация отдельных мероприятий запланировано на 2022 год в сумме 790 000,00 руб. Оплачено 790 000,00 или 100,0%.</w:t>
      </w:r>
    </w:p>
    <w:p w:rsidR="00E149EB" w:rsidRDefault="006B2B86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0505 151G552430 523 251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сумме 82 553 943,62 руб. субсидия на строительство и реконструкцию (модернизацию) объектов питьевого водоснабжения перечислено 62 121 666,04 руб. (75,2%).</w:t>
      </w:r>
    </w:p>
    <w:p w:rsidR="00E149EB" w:rsidRDefault="006B2B86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0505 231F254240 540 251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сумме 50 000 000,00 руб. субсидия на создание комфортной горо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дской среды в малых городах и исторических поселениях – победителях всероссийского конкурса лучших проектов создания комфортной городской среды освоено 9 997 590,00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руб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(20,0%).</w:t>
      </w:r>
    </w:p>
    <w:p w:rsidR="00E149EB" w:rsidRDefault="006B2B86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форме 0503387 в строке 10100 "Государственные и муниципальные программы" в 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рафе 28 и 30 отражена сумма федеральных средств, реально поступивших в подкреплении расходов из Федерации в сумме 189 327 122,43 руб.</w:t>
      </w:r>
    </w:p>
    <w:p w:rsidR="00E149EB" w:rsidRDefault="006B2B86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КБК 840 0505 1530120630 244 226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обеспечение деятельности межведомственной комиссии при Правительстве Пензенской области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 оценке жилых помещений жилищного фонда Пензенской области, а также иных жилых помещений, созданной на основании Постановления Правительства Пензенской области от 15.02.2017 № 71-пП, в целях проведения дополнительного обследования помещений специализиро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ванной организацией, в рамках рассмотрения обращений граждан в сумме 500 000,00 руб. Планируются к освоению по факту.</w:t>
      </w:r>
    </w:p>
    <w:p w:rsidR="00E149EB" w:rsidRDefault="006B2B86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КБК 840 0505 1530174630 530 251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субвенции на исполнение государственных полномочий по проведению внеплановых проверок при осуществлении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лицензионного контроля предпринимательской деятельности по управлению многоквартирными домами в части соблюдения лицензионных требований перечислено 80 000,00 руб. из плановых 760 000,00 руб. (10,5%).</w:t>
      </w:r>
    </w:p>
    <w:p w:rsidR="00E149EB" w:rsidRDefault="006B2B86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0204 0520120100 612 241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сумме 357 300,00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руб. мероприятия по мобилизационной готовности экономики (закупка противогазов) планируется к освоению в 3 квартале 2022 года.</w:t>
      </w:r>
    </w:p>
    <w:p w:rsidR="00E149EB" w:rsidRDefault="006B2B86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0309 0530164700 611 241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сумме 15 884 400,00 руб. организация эксплуатации системы вызова экстренных оперативных служб по единому номеру «112», обеспечение приема и обработки вызовов перечислено 3 356 496,32 руб. (21,1%).</w:t>
      </w:r>
    </w:p>
    <w:p w:rsidR="00E149EB" w:rsidRDefault="006B2B86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0309 0510565280 612 281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сумме 462 500,00 ру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б. на подготовку к пропуску весеннего половодья и летне-осенних паводков планируется к освоению в 3 квартале 2022 года.</w:t>
      </w:r>
    </w:p>
    <w:p w:rsidR="00E149EB" w:rsidRDefault="006B2B86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0309 0510765260 611 241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 подпрограмме «Снижение рисков и смягчение последствий чрезвычайных ситуаций природного и техногенн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 характера и обеспечение пожарной безопасности Пензенской области» в рамках государственной программы Пензенской области «Защита населения и территорий от чрезвычайных ситуаций, обеспечение пожарной безопасности в Пензенской области на 2014 - 2020 годы»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выполнение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госзадания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ГУ «ППСЦ» из плановых лимитов в сумме 134 393 200,00 руб. перечислено 65 285 790,00  руб. или 48,6%.</w:t>
      </w:r>
    </w:p>
    <w:p w:rsidR="00E149EB" w:rsidRDefault="006B2B86">
      <w:pPr>
        <w:ind w:firstLine="86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0309 0510365290 612 241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создание, модернизация и поддержание в состоянии постоянной готовности к использованию региона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льной автоматизированной системы централизованного оповещения населения (РАСЦО) плановые лимиты в сумме 76 391 100,00 руб. планируется к освоению в 3 и 4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вартале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2022 года.</w:t>
      </w:r>
    </w:p>
    <w:p w:rsidR="00E149EB" w:rsidRDefault="006B2B86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0309 0510664730 612 241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сумме 1 846 500,00 руб. на ежемесячную денежну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 выплату спасателям планируется к освоению по мере достижения спасателями соответствующего стажа, дающего право на получение выплаты, перечислено - 814 499,14 руб. или 44,1%.</w:t>
      </w:r>
    </w:p>
    <w:p w:rsidR="00E149EB" w:rsidRDefault="006B2B86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рамках реализации Федерального закона от 21.07.2007 № 185-ФЗ «О Фонде содейств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 реформированию жилищно-коммунального хозяйства»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льства:</w:t>
      </w:r>
    </w:p>
    <w:p w:rsidR="00E149EB" w:rsidRDefault="006B2B86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0501 992F367484 522 251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 счет средств бюджета Пензенской области запланировано на год 5 351 772,00 руб. Перечислено 1 767 777,36 руб. или 33,0%.</w:t>
      </w:r>
    </w:p>
    <w:p w:rsidR="00E149EB" w:rsidRDefault="006B2B86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-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0501 992F367483 522 251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 счет средств Фонда запланировано на год 529 856 409,85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руб. Перечислено 175 007 749,95 руб. или 33,0%.</w:t>
      </w:r>
    </w:p>
    <w:p w:rsidR="00E149EB" w:rsidRDefault="006B2B86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0501 1510566170 632 246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 план 1 000 000,00. Пере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числение по мере поступления заявок.</w:t>
      </w:r>
    </w:p>
    <w:p w:rsidR="00E149EB" w:rsidRDefault="006B2B86">
      <w:pPr>
        <w:ind w:firstLine="7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0505 1510566210 632 246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имущественный взнос Пензенской области в некоммерческую организацию «Региональный фонд капитального ремонта многоквартирных домов Пензенской области» в отчетном периоде перечислен на 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умму 22 761 560,00 руб. или 51,9% от годового объема в сумме 43 872 000,00 руб.</w:t>
      </w:r>
    </w:p>
    <w:p w:rsidR="00E149EB" w:rsidRDefault="006B2B86">
      <w:pPr>
        <w:ind w:firstLine="7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КБК 840 0505 2330265220 244 226 проведение мероприятий по захоронению (перезахоронению)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останков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погибших при защите Отечества жителей Пензенской области план 150 000,00 руб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Планируется к освоению по мере поступления заявок.</w:t>
      </w:r>
    </w:p>
    <w:p w:rsidR="00E149EB" w:rsidRDefault="006B2B86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E149EB" w:rsidRDefault="006B2B86">
      <w:pPr>
        <w:ind w:firstLine="540"/>
        <w:jc w:val="center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4. Анализ показателей бухгалтерской отчетности субъекта бюджетной отчетности</w:t>
      </w:r>
    </w:p>
    <w:p w:rsidR="00E149EB" w:rsidRDefault="006B2B86">
      <w:pPr>
        <w:ind w:firstLine="540"/>
        <w:jc w:val="center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</w:t>
      </w:r>
    </w:p>
    <w:p w:rsidR="00E149EB" w:rsidRDefault="006B2B86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состоянию на 01.07.2022г. дебиторская задолженность по Министерству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составила  1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236 444 846,93 руб., в том числе:</w:t>
      </w:r>
    </w:p>
    <w:p w:rsidR="00E149EB" w:rsidRDefault="006B2B86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ебиторская задолженность по доходам в сумме 1 166 779 341,79 руб.;</w:t>
      </w:r>
    </w:p>
    <w:p w:rsidR="00E149EB" w:rsidRDefault="006B2B86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по статье 221: Дебиторская задолженность подотчетного лица по выданным конвертам, почтовым маркам составила 68 710,00 руб.;</w:t>
      </w:r>
    </w:p>
    <w:p w:rsidR="00E149EB" w:rsidRDefault="006B2B86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по статье 241: субсидия на выполнение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гос.задания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ГУ "ППСЦ"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составила 68 642 286,32 руб.</w:t>
      </w:r>
    </w:p>
    <w:p w:rsidR="00E149EB" w:rsidRDefault="006B2B86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по статье 254: Дебиторская задолженность по расчетам между бюджетами по субвенциям, субсидиям и иным межбюджетным трансфертам на 01.07.2022г. в сумме 954 471,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82  руб.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из них:</w:t>
      </w:r>
    </w:p>
    <w:p w:rsidR="00E149EB" w:rsidRDefault="006B2B86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- 822 250,44 руб. по субсидиям на обеспечение мер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оприятий по переселению граждан из аварийного жилищного фонда за счет средств Фонда содействия реформированию ЖКХ;</w:t>
      </w:r>
    </w:p>
    <w:p w:rsidR="00E149EB" w:rsidRDefault="006B2B86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- 8 305,56 руб. по субсидиям на обеспечение мероприятий по переселению граждан из аварийного жилищного фонда за счет средств бюджета Пензенск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 области;</w:t>
      </w:r>
    </w:p>
    <w:p w:rsidR="00E149EB" w:rsidRDefault="006B2B86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- 0,02 руб. по субсидиям на капитальный ремонт и ремонт сетей и сооружений водоснабжения в населенных пунктах Пензенской области;</w:t>
      </w:r>
    </w:p>
    <w:p w:rsidR="00E149EB" w:rsidRDefault="006B2B86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- 123 915,80 руб.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субсидиям на поддержку государственных программ субъектов Российской Федерации и муниципальны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программ формирования современной городской среды;</w:t>
      </w:r>
    </w:p>
    <w:p w:rsidR="00E149EB" w:rsidRDefault="006B2B86">
      <w:pPr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по статье 291: дебиторская задолженность по налогу на имущество 37,00 руб.;</w:t>
      </w:r>
    </w:p>
    <w:p w:rsidR="00E149EB" w:rsidRDefault="006B2B86">
      <w:pPr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E149EB" w:rsidRDefault="006B2B86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Кредиторская задолженность на 01.07.2022г. сложилась в сумме 4 142 734,48 руб., в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т.ч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.:</w:t>
      </w:r>
    </w:p>
    <w:p w:rsidR="00E149EB" w:rsidRDefault="006B2B86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по статье 211 в сумме 1 890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671,30 руб.: расчеты по заработной плате, НДФЛ, профсоюзные сборы, т.к. выплата з/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 июнь осуществлена 01.07.2022г.;  </w:t>
      </w:r>
    </w:p>
    <w:p w:rsidR="00E149EB" w:rsidRDefault="006B2B86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по статье 213 в сумме 1 381 781,81 руб.: начисления на выплаты по оплате труда (срок оплаты 15.07.2022);</w:t>
      </w:r>
    </w:p>
    <w:p w:rsidR="00E149EB" w:rsidRDefault="006B2B86"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по статье 266 в сумме 870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281,35 руб. расходы по выплате социальных пособий и компенсаций работникам (страховые, выплата алиментов).</w:t>
      </w:r>
    </w:p>
    <w:p w:rsidR="00E149EB" w:rsidRDefault="006B2B86">
      <w:pPr>
        <w:ind w:firstLine="540"/>
        <w:jc w:val="both"/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> </w:t>
      </w:r>
    </w:p>
    <w:p w:rsidR="00E149EB" w:rsidRDefault="006B2B86">
      <w:pPr>
        <w:ind w:firstLine="54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5. Прочие вопросы деятельности субъекта бюджетной отчетности</w:t>
      </w:r>
    </w:p>
    <w:p w:rsidR="00E149EB" w:rsidRDefault="006B2B86">
      <w:pPr>
        <w:jc w:val="center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</w:t>
      </w:r>
    </w:p>
    <w:p w:rsidR="00E149EB" w:rsidRDefault="006B2B86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Бухгалтерский учет ведется в соответствии с федеральным законом от 06.12.2011 №402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-ФЗ «О бухгалтерском учете» (с последующими изменениями), нормативными документами Министерства финансов Российской Федерации по учету исполнения бюджета, приказами Минфина РФ от 01.12.2010 № 157н «Об утверждении Единого плана счетов бухгалтерского учета 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ю» (с последующими изменениями), от 30.03.2015 № 52н «Об утверждении форм первичных учетных документов и регистров бухгалтерского учета, применяемых органами государственной власти (государственными органами), органами местного самоуправления, органами упр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авления государственными внебюджетными фондами, государственными (муниципальными) учреждениями, и Методических указаний по их применению», от 28.12.2010 № 191н «Об утверждении Инструкции о порядке составления и представления годовой, квартальной и месячной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отчетности об исполнении бюджетов бюджетной системы Российской Федерации» (с последующими изменениями), учетной политикой, федеральными стандартами бухгалтерского учета для организаций государственного сектора, утвержденными приказами Минфина России от 31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декабря 2016 № 256н, № 257н, № 258н, № 259н, № 260н, № 278н, № 274н, № 275н, от 30.12.2017 № 277н, от 27.02.2018 № 32н, от 28.02.2018 № 34н, № 37н, от 30.05.2018 № 124н, от 29.06.2018 № 145н, № 146н, от 07.12.2018 № 256н, от 15.11.2019 № 181н, № 184н (дал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ее – соответственно Стандарт «Концептуальные основы бухучета и отчетности», Стандарт «Основные средства», Стандарт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«Аренда», Стандарт «Обесценение активов», Стандарт «Представление бухгалтерской (финансовой) отчетности», Стандарт «Отчет о движении денежных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средств», Стандарт «Учетная политика»,  Стандарт «События после отчетной даты», Стандарт «Информация о связанных сторонах», Стандарт «Доходы», Стандарт  «Бюджетная информация в бухгалтерской (финансовой) отчетности», Стандарт  «Непроизведенные активы», 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андарт «Резервы. Раскрытие информации об условных обязательствах и условных активах», Стандарт «Долгосрочные договоры», Стандарт «Концессионные соглашения», "Стандарт «Запасы», Стандарт «Нематериальные активы», Стандарт «Выплаты персоналу»).</w:t>
      </w:r>
    </w:p>
    <w:p w:rsidR="00E149EB" w:rsidRDefault="006B2B86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Учет в Министе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рстве осуществляется с применением автоматизированной системы бюджетного учета «Смета».</w:t>
      </w:r>
    </w:p>
    <w:p w:rsidR="00E149EB" w:rsidRDefault="006B2B86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связи с отсутствием финансовых показателей Министерством в составе отчетности на 01.07.2022 не представлены следующие формы по ОКУД: 0503184 «Справка о суммах консоли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дируемых поступлений, подлежащих зачислению на счет бюджета».</w:t>
      </w:r>
    </w:p>
    <w:p w:rsidR="00E149EB" w:rsidRDefault="006B2B86">
      <w:r>
        <w:rPr>
          <w:rFonts w:ascii="Calibri" w:eastAsia="Calibri" w:hAnsi="Calibri" w:cs="Calibri"/>
          <w:color w:val="000000"/>
        </w:rPr>
        <w:t> </w:t>
      </w:r>
    </w:p>
    <w:p w:rsidR="00E149EB" w:rsidRDefault="00E149EB"/>
    <w:tbl>
      <w:tblPr>
        <w:tblW w:w="10940" w:type="dxa"/>
        <w:tblInd w:w="96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30"/>
        <w:gridCol w:w="4732"/>
        <w:gridCol w:w="3478"/>
      </w:tblGrid>
      <w:tr w:rsidR="00E149EB">
        <w:tc>
          <w:tcPr>
            <w:tcW w:w="1094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149EB" w:rsidRDefault="00E149EB"/>
        </w:tc>
      </w:tr>
      <w:tr w:rsidR="00E149EB">
        <w:tc>
          <w:tcPr>
            <w:tcW w:w="2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149EB" w:rsidRDefault="006B2B86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Руководитель</w:t>
            </w:r>
          </w:p>
        </w:tc>
        <w:tc>
          <w:tcPr>
            <w:tcW w:w="47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149EB" w:rsidRDefault="006B2B86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noProof/>
              </w:rPr>
              <w:drawing>
                <wp:inline distT="0" distB="0" distL="0" distR="0">
                  <wp:extent cx="2857500" cy="9525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7500" cy="952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149EB" w:rsidRDefault="00E149EB"/>
        </w:tc>
      </w:tr>
      <w:tr w:rsidR="00E149EB">
        <w:trPr>
          <w:trHeight w:val="280"/>
        </w:trPr>
        <w:tc>
          <w:tcPr>
            <w:tcW w:w="27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149EB" w:rsidRDefault="00E149EB">
            <w:pPr>
              <w:rPr>
                <w:sz w:val="24"/>
              </w:rPr>
            </w:pPr>
          </w:p>
        </w:tc>
        <w:tc>
          <w:tcPr>
            <w:tcW w:w="47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149EB" w:rsidRDefault="006B2B86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149EB" w:rsidRDefault="006B2B86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(расшифровка подписи)</w:t>
            </w:r>
          </w:p>
        </w:tc>
      </w:tr>
      <w:tr w:rsidR="00E149EB">
        <w:trPr>
          <w:trHeight w:val="132"/>
        </w:trPr>
        <w:tc>
          <w:tcPr>
            <w:tcW w:w="0" w:type="auto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149EB" w:rsidRDefault="006B2B86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E149EB">
        <w:trPr>
          <w:trHeight w:val="281"/>
        </w:trPr>
        <w:tc>
          <w:tcPr>
            <w:tcW w:w="2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149EB" w:rsidRDefault="006B2B86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Руководитель планово-</w:t>
            </w:r>
          </w:p>
        </w:tc>
        <w:tc>
          <w:tcPr>
            <w:tcW w:w="47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149EB" w:rsidRDefault="00E149EB">
            <w:pPr>
              <w:rPr>
                <w:sz w:val="24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149EB" w:rsidRDefault="00E149EB">
            <w:pPr>
              <w:rPr>
                <w:sz w:val="24"/>
              </w:rPr>
            </w:pPr>
          </w:p>
        </w:tc>
      </w:tr>
      <w:tr w:rsidR="00E149EB">
        <w:trPr>
          <w:trHeight w:val="281"/>
        </w:trPr>
        <w:tc>
          <w:tcPr>
            <w:tcW w:w="2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149EB" w:rsidRDefault="006B2B86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экономической службы</w:t>
            </w:r>
          </w:p>
        </w:tc>
        <w:tc>
          <w:tcPr>
            <w:tcW w:w="47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149EB" w:rsidRDefault="006B2B86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149EB" w:rsidRDefault="006B2B86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(расшифровка подписи)</w:t>
            </w:r>
          </w:p>
        </w:tc>
      </w:tr>
      <w:tr w:rsidR="00E149EB">
        <w:trPr>
          <w:trHeight w:val="281"/>
        </w:trPr>
        <w:tc>
          <w:tcPr>
            <w:tcW w:w="0" w:type="auto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149EB" w:rsidRDefault="00E149EB">
            <w:pPr>
              <w:rPr>
                <w:sz w:val="24"/>
              </w:rPr>
            </w:pPr>
          </w:p>
        </w:tc>
      </w:tr>
      <w:tr w:rsidR="00E149EB">
        <w:trPr>
          <w:trHeight w:val="281"/>
        </w:trPr>
        <w:tc>
          <w:tcPr>
            <w:tcW w:w="2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149EB" w:rsidRDefault="006B2B86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E149EB" w:rsidRDefault="006B2B86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E149EB" w:rsidRDefault="006B2B86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Главный</w:t>
            </w:r>
          </w:p>
        </w:tc>
        <w:tc>
          <w:tcPr>
            <w:tcW w:w="47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149EB" w:rsidRDefault="006B2B86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noProof/>
              </w:rPr>
              <w:drawing>
                <wp:inline distT="0" distB="0" distL="0" distR="0">
                  <wp:extent cx="2857500" cy="95250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7500" cy="952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149EB" w:rsidRDefault="00E149EB">
            <w:pPr>
              <w:rPr>
                <w:sz w:val="24"/>
              </w:rPr>
            </w:pPr>
          </w:p>
        </w:tc>
      </w:tr>
      <w:tr w:rsidR="00E149EB">
        <w:trPr>
          <w:trHeight w:val="281"/>
        </w:trPr>
        <w:tc>
          <w:tcPr>
            <w:tcW w:w="2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149EB" w:rsidRDefault="006B2B86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бухгалтер</w:t>
            </w:r>
          </w:p>
        </w:tc>
        <w:tc>
          <w:tcPr>
            <w:tcW w:w="47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149EB" w:rsidRDefault="006B2B86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149EB" w:rsidRDefault="006B2B86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(расшифровка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подписи)</w:t>
            </w:r>
          </w:p>
        </w:tc>
      </w:tr>
    </w:tbl>
    <w:p w:rsidR="00E149EB" w:rsidRDefault="006B2B86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 </w:t>
      </w:r>
    </w:p>
    <w:p w:rsidR="00E149EB" w:rsidRDefault="006B2B86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"____"   ____________ 20____г.</w:t>
      </w:r>
    </w:p>
    <w:p w:rsidR="00E149EB" w:rsidRDefault="006B2B86"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        </w:t>
      </w:r>
    </w:p>
    <w:sectPr w:rsidR="00E149EB">
      <w:pgSz w:w="15840" w:h="12240" w:orient="landscape"/>
      <w:pgMar w:top="1133" w:right="850" w:bottom="1133" w:left="1700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568F3D"/>
    <w:multiLevelType w:val="hybridMultilevel"/>
    <w:tmpl w:val="451E0FA0"/>
    <w:lvl w:ilvl="0" w:tplc="11644504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</w:rPr>
    </w:lvl>
    <w:lvl w:ilvl="1" w:tplc="716B123E">
      <w:start w:val="1"/>
      <w:numFmt w:val="bullet"/>
      <w:lvlText w:val="o"/>
      <w:lvlJc w:val="left"/>
      <w:pPr>
        <w:ind w:left="1440" w:hanging="360"/>
      </w:pPr>
      <w:rPr>
        <w:rFonts w:ascii="Symbol" w:hAnsi="Symbol"/>
      </w:rPr>
    </w:lvl>
    <w:lvl w:ilvl="2" w:tplc="3D91EC7F">
      <w:start w:val="1"/>
      <w:numFmt w:val="bullet"/>
      <w:lvlText w:val="·"/>
      <w:lvlJc w:val="left"/>
      <w:pPr>
        <w:ind w:left="2160" w:hanging="360"/>
      </w:pPr>
      <w:rPr>
        <w:rFonts w:ascii="Symbol" w:hAnsi="Symbol"/>
      </w:rPr>
    </w:lvl>
    <w:lvl w:ilvl="3" w:tplc="5AF8D3B7">
      <w:start w:val="1"/>
      <w:numFmt w:val="bullet"/>
      <w:lvlText w:val="o"/>
      <w:lvlJc w:val="left"/>
      <w:pPr>
        <w:ind w:left="2880" w:hanging="360"/>
      </w:pPr>
      <w:rPr>
        <w:rFonts w:ascii="Symbol" w:hAnsi="Symbol"/>
      </w:rPr>
    </w:lvl>
    <w:lvl w:ilvl="4" w:tplc="41B55AAF">
      <w:start w:val="1"/>
      <w:numFmt w:val="bullet"/>
      <w:lvlText w:val="·"/>
      <w:lvlJc w:val="left"/>
      <w:pPr>
        <w:ind w:left="3600" w:hanging="360"/>
      </w:pPr>
      <w:rPr>
        <w:rFonts w:ascii="Symbol" w:hAnsi="Symbol"/>
      </w:rPr>
    </w:lvl>
    <w:lvl w:ilvl="5" w:tplc="0BD2807D">
      <w:start w:val="1"/>
      <w:numFmt w:val="bullet"/>
      <w:lvlText w:val="o"/>
      <w:lvlJc w:val="left"/>
      <w:pPr>
        <w:ind w:left="4320" w:hanging="360"/>
      </w:pPr>
      <w:rPr>
        <w:rFonts w:ascii="Symbol" w:hAnsi="Symbol"/>
      </w:rPr>
    </w:lvl>
    <w:lvl w:ilvl="6" w:tplc="459C6668">
      <w:start w:val="1"/>
      <w:numFmt w:val="bullet"/>
      <w:lvlText w:val="·"/>
      <w:lvlJc w:val="left"/>
      <w:pPr>
        <w:ind w:left="5040" w:hanging="360"/>
      </w:pPr>
      <w:rPr>
        <w:rFonts w:ascii="Symbol" w:hAnsi="Symbol"/>
      </w:rPr>
    </w:lvl>
    <w:lvl w:ilvl="7" w:tplc="45D9841F">
      <w:start w:val="1"/>
      <w:numFmt w:val="bullet"/>
      <w:lvlText w:val="o"/>
      <w:lvlJc w:val="left"/>
      <w:pPr>
        <w:ind w:left="5760" w:hanging="360"/>
      </w:pPr>
      <w:rPr>
        <w:rFonts w:ascii="Symbol" w:hAnsi="Symbol"/>
      </w:rPr>
    </w:lvl>
    <w:lvl w:ilvl="8" w:tplc="0CF2140C">
      <w:start w:val="1"/>
      <w:numFmt w:val="bullet"/>
      <w:lvlText w:val="·"/>
      <w:lvlJc w:val="left"/>
      <w:pPr>
        <w:ind w:left="6480" w:hanging="360"/>
      </w:pPr>
      <w:rPr>
        <w:rFonts w:ascii="Symbol" w:hAnsi="Symbol"/>
      </w:rPr>
    </w:lvl>
  </w:abstractNum>
  <w:abstractNum w:abstractNumId="1" w15:restartNumberingAfterBreak="0">
    <w:nsid w:val="41902542"/>
    <w:multiLevelType w:val="hybridMultilevel"/>
    <w:tmpl w:val="B20E6E60"/>
    <w:lvl w:ilvl="0" w:tplc="78B95D71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</w:rPr>
    </w:lvl>
    <w:lvl w:ilvl="1" w:tplc="487A1017">
      <w:start w:val="1"/>
      <w:numFmt w:val="bullet"/>
      <w:lvlText w:val="o"/>
      <w:lvlJc w:val="left"/>
      <w:pPr>
        <w:ind w:left="1440" w:hanging="360"/>
      </w:pPr>
      <w:rPr>
        <w:rFonts w:ascii="Symbol" w:hAnsi="Symbol"/>
      </w:rPr>
    </w:lvl>
    <w:lvl w:ilvl="2" w:tplc="35DDCB2F">
      <w:start w:val="1"/>
      <w:numFmt w:val="bullet"/>
      <w:lvlText w:val="·"/>
      <w:lvlJc w:val="left"/>
      <w:pPr>
        <w:ind w:left="2160" w:hanging="360"/>
      </w:pPr>
      <w:rPr>
        <w:rFonts w:ascii="Symbol" w:hAnsi="Symbol"/>
      </w:rPr>
    </w:lvl>
    <w:lvl w:ilvl="3" w:tplc="07E952C7">
      <w:start w:val="1"/>
      <w:numFmt w:val="bullet"/>
      <w:lvlText w:val="o"/>
      <w:lvlJc w:val="left"/>
      <w:pPr>
        <w:ind w:left="2880" w:hanging="360"/>
      </w:pPr>
      <w:rPr>
        <w:rFonts w:ascii="Symbol" w:hAnsi="Symbol"/>
      </w:rPr>
    </w:lvl>
    <w:lvl w:ilvl="4" w:tplc="0109B01A">
      <w:start w:val="1"/>
      <w:numFmt w:val="bullet"/>
      <w:lvlText w:val="·"/>
      <w:lvlJc w:val="left"/>
      <w:pPr>
        <w:ind w:left="3600" w:hanging="360"/>
      </w:pPr>
      <w:rPr>
        <w:rFonts w:ascii="Symbol" w:hAnsi="Symbol"/>
      </w:rPr>
    </w:lvl>
    <w:lvl w:ilvl="5" w:tplc="543839DF">
      <w:start w:val="1"/>
      <w:numFmt w:val="bullet"/>
      <w:lvlText w:val="o"/>
      <w:lvlJc w:val="left"/>
      <w:pPr>
        <w:ind w:left="4320" w:hanging="360"/>
      </w:pPr>
      <w:rPr>
        <w:rFonts w:ascii="Symbol" w:hAnsi="Symbol"/>
      </w:rPr>
    </w:lvl>
    <w:lvl w:ilvl="6" w:tplc="35694A98">
      <w:start w:val="1"/>
      <w:numFmt w:val="bullet"/>
      <w:lvlText w:val="·"/>
      <w:lvlJc w:val="left"/>
      <w:pPr>
        <w:ind w:left="5040" w:hanging="360"/>
      </w:pPr>
      <w:rPr>
        <w:rFonts w:ascii="Symbol" w:hAnsi="Symbol"/>
      </w:rPr>
    </w:lvl>
    <w:lvl w:ilvl="7" w:tplc="1D5ECB5E">
      <w:start w:val="1"/>
      <w:numFmt w:val="bullet"/>
      <w:lvlText w:val="o"/>
      <w:lvlJc w:val="left"/>
      <w:pPr>
        <w:ind w:left="5760" w:hanging="360"/>
      </w:pPr>
      <w:rPr>
        <w:rFonts w:ascii="Symbol" w:hAnsi="Symbol"/>
      </w:rPr>
    </w:lvl>
    <w:lvl w:ilvl="8" w:tplc="62269DE4">
      <w:start w:val="1"/>
      <w:numFmt w:val="bullet"/>
      <w:lvlText w:val="·"/>
      <w:lvlJc w:val="left"/>
      <w:pPr>
        <w:ind w:left="6480" w:hanging="360"/>
      </w:pPr>
      <w:rPr>
        <w:rFonts w:ascii="Symbol" w:hAnsi="Symbol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49EB"/>
    <w:rsid w:val="006B2B86"/>
    <w:rsid w:val="00E14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9204C7E-B55C-4849-A0D1-ED216AE0B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semiHidden/>
  </w:style>
  <w:style w:type="character" w:styleId="a4">
    <w:name w:val="Hyperlink"/>
    <w:rPr>
      <w:color w:val="0000FF"/>
      <w:u w:val="single"/>
    </w:rPr>
  </w:style>
  <w:style w:type="table" w:styleId="1">
    <w:name w:val="Table Simple 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7EAADF"/>
      </a:accent1>
      <a:accent2>
        <a:srgbClr val="EA726F"/>
      </a:accent2>
      <a:accent3>
        <a:srgbClr val="A9D774"/>
      </a:accent3>
      <a:accent4>
        <a:srgbClr val="A78BC9"/>
      </a:accent4>
      <a:accent5>
        <a:srgbClr val="78CBE1"/>
      </a:accent5>
      <a:accent6>
        <a:srgbClr val="FCBF8C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algn="ctr">
          <a:solidFill>
            <a:schemeClr val="phClr"/>
          </a:solidFill>
          <a:prstDash val="solid"/>
        </a:ln>
        <a:ln w="38100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4728</Words>
  <Characters>26954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2024-02-16T06:27:00Z</dcterms:created>
  <dcterms:modified xsi:type="dcterms:W3CDTF">2024-02-16T06:27:00Z</dcterms:modified>
</cp:coreProperties>
</file>